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2020年度省级重点人才项目绩效评价报告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一、省级重点人才项目资金基本情况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2020年度省级人才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11766万元，包括省级重点人才项目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9266万元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拔尖领军人才培养2500万元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省级重点人才项目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立项项目220项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其中：重点人才项目129项，投入资金7767.5万元；陇原青年创新创业人才（团队）项目23项，投入资金355万元；陇原青年创新创业人才（个人）项目64项，投入资金292万元；省委组织部负责实施的人才项目4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，851.5万元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重点项目评价情况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1.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评价范围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委托第三方机构对216个项目开展了绩效评价，涉及资金8414.5万元。其中，重点人才项目资金7767.5万元，项目为129项；陇原青年创新创业人才（团队）项目资金355万元，项目为23项；陇原青年创新创业人才（个人）项目资金292万元，项目为64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2.评价流程。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绩效评价工作分四个阶段进行：一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是项目单位自查自评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组织部于2021年4月21日向项目单位下发《关于开展2020年度省级重点人才项目和陇原青年创新创业人才（团队）项目绩效评价工作的通知》，组织项目实施单位对项目执行进展及资金绩效情况进行自评，填报绩效自评报告，项目推荐单位履行审核职责。二是材料审核分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第三方机构对提交的绩效自评资料进行有效性审核，并组织指导项目单位进一步修改完善。三是现场评价与书面评价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第三方机构随机抽取87项（资金4680万元）进行现场评价，占评价项目数的40.28%，资金占评价资金的55.62%。其余129项（资金3734.5万元）进行书面评价，占评价项目数的59.72%，资金占评价资金的44.38%。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组织专家采取现场评价、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座谈交流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、审核书面材料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、查阅财务账簿等方式，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项目管理、资金管理、项目产出、实施效果、影响力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个维度进行打分，并形成意见。四是综合分析评价。第三方机构对采集的相关基础数据资料进行整理汇总，结合现场评价和书面评价等情况，对专项资金的落实、项目的组织实施以及效益效果等进行多维度的分析，形成评价意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3.绩效评价结果。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216项项目绩效评价平均得分80.22分。总体来看，2020年省级重点人才项目和陇原青年创新创业人才（团队）项目紧紧围绕脱贫攻坚、十大生态产业发展、县域经济发展、创新创业人才队伍建设等重大战略部署，以统筹推进重大人才项目、技能人才项目、创新人才项目建设为抓手，兼顾市县、产业、行业协同发展，部署了一批战略意义突出、带动作用明显的项目，有效发挥了人才引领带动作用，建设了一批人才培养培训示范基地，引进了一批高层次及急需紧缺人才，培育了一批创新创业骨干人才及农村实用人才队伍，营造了识才爱才敬才用才的良好环境，为深化供给侧结构性改革，培育产业发展新动能，实现全省脱贫攻坚，推动经济高质量发展、全面建成小康社会提供坚强有力的人才保障和智力支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4.绩效完成情况。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2021年5月，216个人才项目对支撑和引领生态产业发展、培养稳定人才队伍、支撑地区经济社会发展均起到了显著的作用，参与培训的各类人才均有很高的满意度。已建设各类人才培训、培养、实训基地476个，组建培养引进人才团队133个，引进各类人才（含聘请专家、柔性引进人才）897人，培养博士后4名，培养博士65名，培养硕士322名，培养各领域专业技术人才（包括青年骨干、县域经济人才、农村实用技术人才等）6389人，举办各类人才培训活动1891（场/次），培训各类人员（包括技术骨干、种养大户、致富带头人、农民、贫困户等）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培训合格率达到92.75%，申请专利334件，获得授权专利212件，开发新产品、新技术、新工艺450项，推广新技术、新工艺246项，提供技术咨询/技术服务67341人次，制定各类技术标准67项，取得软件著作权60项，出版专著38部，发表论文768篇，带动实施其他项目（课题）358项，获得地厅级及以上奖励341个，各领域新增就业19565人，建设特色产业生产示范（孵化）基地219个，为2875家企业（含农业生产合作社等）提供各类技术指导等服务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发现的问题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项目管理方面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部分项目单位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未认真学习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《管理办法》，主体责任落实不够，监督指导作用发挥不充分，过程管理制度还不够健全，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建立符合人才项目特色的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项目实施方面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部分人才项目绩效目标设定不明确，人才培养精准度不高，形式内容比较单一，人才能力提升和团队建设成效不明显，缺乏对实施经验模式的总结凝练，部分项目未按照计划实施完成及宣传推广。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资金管理方面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部分项目专项资金使用存在没有专款专用、专账核算，支出较慢，执行率较低，资金有结余，支出结构不合理，与人才项目契合度不够高，设备费、材料费支出比例过高等问题。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四、工作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1.完善管理制度。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修订完善《管理办法》，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项目类型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专项资金的支出范围和比例，规范项目结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结余资金管理，对立项资金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达到一定金额的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项目进行财务审计，指导督促项目单位结合实际，逐步建立符合人才项目特色的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机制，推动形成上下联动的人才项目全流程预算管理制度体系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，深化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项目预算绩效管理，不断提升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项目实施精细化水平。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.推广先进经验。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指导各地各单位通过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举办培训会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座谈交流、监督检查等多种形式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进行项目实施的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、辅导培训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，邀请优秀项目推荐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单位及项目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进行经验交流及宣传推广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，选摘优秀项目案例，在各级媒体上对优秀项目、实施单位及专家人才开展宣传报道，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对人才项目特色定位及政策的深度理解，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长效作用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持续营造尊重知识、尊重人才、尊重创造的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良好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.指导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督促存在问题的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整改落实。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下发通知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绩效评价不合格及存在突出问题项目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尽快进行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整改，督促项目实施未完成、资金支出较慢项目加快进度，确保绩效目标全面完成，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专项资金安全合规高效使用，项目实施取得实效。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.强化绩效评价结果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运用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进一步健全绩效评价结果反馈与整改机制，将绩效评价结果与后续项目支持有机结合，形成良性的项目立项管理机制，切实提高项目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。坚持优化决策和管理导向，完善绩效评价方式方法，优化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个性指标，更好地发挥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指挥棒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-111125</wp:posOffset>
              </wp:positionV>
              <wp:extent cx="585470" cy="250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547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75pt;height:19.75pt;width:46.1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GayUPNkAAAAKAQAADwAAAAAAAAABACAAAAA4AAAAZHJzL2Rvd25y&#10;ZXYueG1sUEsBAhQAFAAAAAgAh07iQGQHgyIgAgAAKQ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DD0B4"/>
    <w:multiLevelType w:val="singleLevel"/>
    <w:tmpl w:val="BD3DD0B4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D6089"/>
    <w:rsid w:val="00214F5D"/>
    <w:rsid w:val="00675D0E"/>
    <w:rsid w:val="0FFF2195"/>
    <w:rsid w:val="2BED6089"/>
    <w:rsid w:val="4F7EC345"/>
    <w:rsid w:val="5BFFFF16"/>
    <w:rsid w:val="5D2A58F2"/>
    <w:rsid w:val="6755245A"/>
    <w:rsid w:val="7F6E8F3B"/>
    <w:rsid w:val="7FFFFDD1"/>
    <w:rsid w:val="8FFEAA68"/>
    <w:rsid w:val="CFFF0588"/>
    <w:rsid w:val="E75F5AC7"/>
    <w:rsid w:val="EEFD6668"/>
    <w:rsid w:val="F7772A74"/>
    <w:rsid w:val="FDE27A7E"/>
    <w:rsid w:val="FDFF5C37"/>
    <w:rsid w:val="FFDFF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419</Words>
  <Characters>2389</Characters>
  <Lines>19</Lines>
  <Paragraphs>5</Paragraphs>
  <TotalTime>9</TotalTime>
  <ScaleCrop>false</ScaleCrop>
  <LinksUpToDate>false</LinksUpToDate>
  <CharactersWithSpaces>2803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2021-08-25T08:30:00Z</dcterms:created>
  <dc:creator>bessie</dc:creator>
  <cp:lastModifiedBy>user</cp:lastModifiedBy>
  <cp:lastPrinted>2021-08-25T02:24:00Z</cp:lastPrinted>
  <dcterms:modified xsi:type="dcterms:W3CDTF">2021-08-25T09:19:53Z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C2F6AAC0C92B446FAF47FA48D23F2B78</vt:lpwstr>
  </property>
</Properties>
</file>