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120" w:line="600" w:lineRule="exact"/>
        <w:textAlignment w:val="auto"/>
        <w:rPr>
          <w:rFonts w:hint="default" w:ascii="Times New Roman" w:hAnsi="Times New Roman" w:eastAsia="方正小标宋简体" w:cs="Times New Roman"/>
          <w:b w:val="0"/>
          <w:sz w:val="44"/>
          <w:szCs w:val="44"/>
          <w:lang w:val="en-US" w:eastAsia="zh-CN"/>
        </w:rPr>
      </w:pP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120"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 w:val="0"/>
          <w:sz w:val="44"/>
          <w:szCs w:val="44"/>
          <w:lang w:val="en-US" w:eastAsia="zh-CN"/>
        </w:rPr>
        <w:t>2020年度省级重点人才项目绩效评价报告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120" w:line="60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b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sz w:val="32"/>
          <w:szCs w:val="32"/>
        </w:rPr>
        <w:t>一、省级重点人才项目资金基本情况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2020年度省级人才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发展经费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共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11766万元，包括省级重点人才项目</w:t>
      </w:r>
      <w:r>
        <w:rPr>
          <w:rFonts w:hint="default" w:ascii="Times New Roman" w:hAnsi="Times New Roman" w:eastAsia="仿宋_GB2312" w:cs="Times New Roman"/>
          <w:sz w:val="32"/>
          <w:szCs w:val="32"/>
        </w:rPr>
        <w:t>9266万元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拔尖领军人才培养2500万元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2020年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省级重点人才项目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立项项目220项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其中：重点人才项目129项，投入资金7767.5万元；陇原青年创新创业人才（团队）项目23项，投入资金355万元；陇原青年创新创业人才（个人）项目64项，投入资金292万元；省委组织部负责实施的人才项目4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项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，851.5万元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640" w:leftChars="0" w:firstLine="0" w:firstLineChars="0"/>
        <w:textAlignment w:val="auto"/>
        <w:rPr>
          <w:rFonts w:hint="default" w:ascii="Times New Roman" w:hAnsi="Times New Roman" w:eastAsia="黑体" w:cs="Times New Roman"/>
          <w:b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sz w:val="32"/>
          <w:szCs w:val="32"/>
        </w:rPr>
        <w:t>重点项目评价情况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楷体_GB2312" w:cs="Times New Roman"/>
          <w:b/>
          <w:bCs/>
          <w:sz w:val="32"/>
          <w:szCs w:val="32"/>
          <w:lang w:val="en-US" w:eastAsia="zh-CN"/>
        </w:rPr>
        <w:t xml:space="preserve">  1.</w:t>
      </w:r>
      <w:r>
        <w:rPr>
          <w:rFonts w:hint="default" w:ascii="Times New Roman" w:hAnsi="Times New Roman" w:eastAsia="楷体_GB2312" w:cs="Times New Roman"/>
          <w:b/>
          <w:bCs/>
          <w:sz w:val="32"/>
          <w:szCs w:val="32"/>
        </w:rPr>
        <w:t>评价范围</w:t>
      </w:r>
      <w:r>
        <w:rPr>
          <w:rFonts w:hint="default" w:ascii="Times New Roman" w:hAnsi="Times New Roman" w:eastAsia="楷体_GB2312" w:cs="Times New Roman"/>
          <w:b/>
          <w:bCs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委托第三方机构对216个项目开展了绩效评价，涉及资金8414.5万元。其中，重点人才项目资金7767.5万元，项目为129项；陇原青年创新创业人才（团队）项目资金355万元，项目为23项；陇原青年创新创业人才（个人）项目资金292万元，项目为64项。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bCs/>
          <w:sz w:val="32"/>
          <w:szCs w:val="32"/>
          <w:lang w:val="en-US" w:eastAsia="zh-CN"/>
        </w:rPr>
        <w:t>2.评价流程。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绩效评价工作分四个阶段进行：一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</w:rPr>
        <w:t>是项目单位自查自评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省委组织部于2021年4月21日向项目单位下发《关于开展2020年度省级重点人才项目和陇原青年创新创业人才（团队）项目绩效评价工作的通知》，组织项目实施单位对项目执行进展及资金绩效情况进行自评，填报绩效自评报告，项目推荐单位履行审核职责。二是材料审核分析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第三方机构对提交的绩效自评资料进行有效性审核，并组织指导项目单位进一步修改完善。三是现场评价与书面评价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第三方机构随机抽取87项（资金4680万元）进行现场评价，占评价项目数的40.28%，资金占评价资金的55.62%。其余129项（资金3734.5万元）进行书面评价，占评价项目数的59.72%，资金占评价资金的44.38%。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组织专家采取现场评价、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座谈交流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、审核书面材料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、查阅财务账簿等方式，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从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项目管理、资金管理、项目产出、实施效果、影响力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5个维度进行打分，并形成意见。四是综合分析评价。第三方机构对采集的相关基础数据资料进行整理汇总，结合现场评价和书面评价等情况，对专项资金的落实、项目的组织实施以及效益效果等进行多维度的分析，形成评价意见。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bCs/>
          <w:sz w:val="32"/>
          <w:szCs w:val="32"/>
          <w:lang w:val="en-US" w:eastAsia="zh-CN"/>
        </w:rPr>
        <w:t>3.绩效评价结果。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216项项目绩效评价平均得分80.22分。总体来看，2020年省级重点人才项目和陇原青年创新创业人才（团队）项目紧紧围绕脱贫攻坚、十大生态产业发展、县域经济发展、创新创业人才队伍建设等重大战略部署，以统筹推进重大人才项目、技能人才项目、创新人才项目建设为抓手，兼顾市县、产业、行业协同发展，部署了一批战略意义突出、带动作用明显的项目，有效发挥了人才引领带动作用，建设了一批人才培养培训示范基地，引进了一批高层次及急需紧缺人才，培育了一批创新创业骨干人才及农村实用人才队伍，营造了识才爱才敬才用才的良好环境，为深化供给侧结构性改革，培育产业发展新动能，实现全省脱贫攻坚，推动经济高质量发展、全面建成小康社会提供坚强有力的人才保障和智力支持。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bCs/>
          <w:sz w:val="32"/>
          <w:szCs w:val="32"/>
          <w:lang w:val="en-US" w:eastAsia="zh-CN"/>
        </w:rPr>
        <w:t>4.绩效完成情况。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截至2021年5月，216个人才项目对支撑和引领生态产业发展、培养稳定人才队伍、支撑地区经济社会发展均起到了显著的作用，参与培训的各类人才均有很高的满意度。已建设各类人才培训、培养、实训基地476个，组建培养引进人才团队133个，引进各类人才（含聘请专家、柔性引进人才）897人，培养博士后4名，培养博士65名，培养硕士322名，培养各领域专业技术人才（包括青年骨干、县域经济人才、农村实用技术人才等）6389人，举办各类人才培训活动1891（场/次），培训各类人员（包括技术骨干、种养大户、致富带头人、农民、贫困户等）11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万余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人次，培训合格率达到92.75%，申请专利334件，获得授权专利212件，开发新产品、新技术、新工艺450项，推广新技术、新工艺246项，提供技术咨询/技术服务67341人次，制定各类技术标准67项，取得软件著作权60项，出版专著38部，发表论文768篇，带动实施其他项目（课题）358项，获得地厅级及以上奖励341个，各领域新增就业19565人，建设特色产业生产示范（孵化）基地219个，为2875家企业（含农业生产合作社等）提供各类技术指导等服务。</w:t>
      </w:r>
    </w:p>
    <w:p>
      <w:pPr>
        <w:pStyle w:val="3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  <w:t xml:space="preserve"> 三、</w:t>
      </w: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  <w:t>发现的问题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2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bCs/>
          <w:sz w:val="32"/>
          <w:szCs w:val="32"/>
          <w:lang w:val="en-US" w:eastAsia="zh-CN"/>
        </w:rPr>
        <w:t>1.</w:t>
      </w:r>
      <w:r>
        <w:rPr>
          <w:rFonts w:hint="default" w:ascii="Times New Roman" w:hAnsi="Times New Roman" w:eastAsia="楷体_GB2312" w:cs="Times New Roman"/>
          <w:b/>
          <w:bCs/>
          <w:sz w:val="32"/>
          <w:szCs w:val="32"/>
        </w:rPr>
        <w:t>项目管理方面</w:t>
      </w:r>
      <w:r>
        <w:rPr>
          <w:rFonts w:hint="default" w:ascii="Times New Roman" w:hAnsi="Times New Roman" w:eastAsia="楷体_GB2312" w:cs="Times New Roman"/>
          <w:b/>
          <w:bCs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部分项目单位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未认真学习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《管理办法》，主体责任落实不够，监督指导作用发挥不充分，过程管理制度还不够健全，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未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建立符合人才项目特色的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管理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机制。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2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bCs/>
          <w:sz w:val="32"/>
          <w:szCs w:val="32"/>
          <w:lang w:val="en-US" w:eastAsia="zh-CN"/>
        </w:rPr>
        <w:t>2.</w:t>
      </w:r>
      <w:r>
        <w:rPr>
          <w:rFonts w:hint="default" w:ascii="Times New Roman" w:hAnsi="Times New Roman" w:eastAsia="楷体_GB2312" w:cs="Times New Roman"/>
          <w:b/>
          <w:bCs/>
          <w:sz w:val="32"/>
          <w:szCs w:val="32"/>
        </w:rPr>
        <w:t>项目实施方面</w:t>
      </w:r>
      <w:r>
        <w:rPr>
          <w:rFonts w:hint="default" w:ascii="Times New Roman" w:hAnsi="Times New Roman" w:eastAsia="楷体_GB2312" w:cs="Times New Roman"/>
          <w:b/>
          <w:bCs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部分人才项目绩效目标设定不明确，人才培养精准度不高，形式内容比较单一，人才能力提升和团队建设成效不明显，缺乏对实施经验模式的总结凝练，部分项目未按照计划实施完成及宣传推广。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2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bCs/>
          <w:sz w:val="32"/>
          <w:szCs w:val="32"/>
          <w:lang w:val="en-US" w:eastAsia="zh-CN"/>
        </w:rPr>
        <w:t>3.</w:t>
      </w:r>
      <w:r>
        <w:rPr>
          <w:rFonts w:hint="default" w:ascii="Times New Roman" w:hAnsi="Times New Roman" w:eastAsia="楷体_GB2312" w:cs="Times New Roman"/>
          <w:b/>
          <w:bCs/>
          <w:sz w:val="32"/>
          <w:szCs w:val="32"/>
        </w:rPr>
        <w:t>资金管理方面</w:t>
      </w:r>
      <w:r>
        <w:rPr>
          <w:rFonts w:hint="default" w:ascii="Times New Roman" w:hAnsi="Times New Roman" w:eastAsia="楷体_GB2312" w:cs="Times New Roman"/>
          <w:b/>
          <w:bCs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部分项目专项资金使用存在没有专款专用、专账核算，支出较慢，执行率较低，资金有结余，支出结构不合理，与人才项目契合度不够高，设备费、材料费支出比例过高等问题。</w:t>
      </w:r>
    </w:p>
    <w:p>
      <w:pPr>
        <w:pStyle w:val="3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eastAsia="zh-CN"/>
        </w:rPr>
        <w:t>四、工作</w:t>
      </w: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  <w:t>建议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2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bCs/>
          <w:sz w:val="32"/>
          <w:szCs w:val="32"/>
        </w:rPr>
        <w:t>1.完善管理制度。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修订完善《管理办法》，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根据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项目类型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，确定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专项资金的支出范围和比例，规范项目结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项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验收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结余资金管理，对立项资金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达到一定金额的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项目进行财务审计，指导督促项目单位结合实际，逐步建立符合人才项目特色的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管理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机制，推动形成上下联动的人才项目全流程预算管理制度体系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，深化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项目预算绩效管理，不断提升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项目实施精细化水平。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2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楷体_GB2312" w:cs="Times New Roman"/>
          <w:b/>
          <w:bCs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楷体_GB2312" w:cs="Times New Roman"/>
          <w:b/>
          <w:bCs/>
          <w:sz w:val="32"/>
          <w:szCs w:val="32"/>
        </w:rPr>
        <w:t>.推广先进经验。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指导各地各单位通过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举办培训会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座谈交流、监督检查等多种形式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进行项目实施的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政策解读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、辅导培训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，邀请优秀项目推荐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或实施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单位及项目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负责人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进行经验交流及宣传推广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，选摘优秀项目案例，在各级媒体上对优秀项目、实施单位及专家人才开展宣传报道，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全面提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升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对人才项目特色定位及政策的深度理解，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发挥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项目的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长效作用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持续营造尊重知识、尊重人才、尊重创造的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良好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发展环境。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2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bCs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楷体_GB2312" w:cs="Times New Roman"/>
          <w:b/>
          <w:bCs/>
          <w:sz w:val="32"/>
          <w:szCs w:val="32"/>
        </w:rPr>
        <w:t>.指导</w:t>
      </w:r>
      <w:r>
        <w:rPr>
          <w:rFonts w:hint="default" w:ascii="Times New Roman" w:hAnsi="Times New Roman" w:eastAsia="楷体_GB2312" w:cs="Times New Roman"/>
          <w:b/>
          <w:bCs/>
          <w:sz w:val="32"/>
          <w:szCs w:val="32"/>
          <w:lang w:eastAsia="zh-CN"/>
        </w:rPr>
        <w:t>督促存在问题的</w:t>
      </w:r>
      <w:r>
        <w:rPr>
          <w:rFonts w:hint="default" w:ascii="Times New Roman" w:hAnsi="Times New Roman" w:eastAsia="楷体_GB2312" w:cs="Times New Roman"/>
          <w:b/>
          <w:bCs/>
          <w:sz w:val="32"/>
          <w:szCs w:val="32"/>
        </w:rPr>
        <w:t>整改落实。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下发通知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要求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绩效评价不合格及存在突出问题项目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尽快进行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整改，督促项目实施未完成、资金支出较慢项目加快进度，确保绩效目标全面完成，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保证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专项资金安全合规高效使用，项目实施取得实效。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2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bCs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楷体_GB2312" w:cs="Times New Roman"/>
          <w:b/>
          <w:bCs/>
          <w:sz w:val="32"/>
          <w:szCs w:val="32"/>
        </w:rPr>
        <w:t>.强化绩效评价结果</w:t>
      </w:r>
      <w:r>
        <w:rPr>
          <w:rFonts w:hint="default" w:ascii="Times New Roman" w:hAnsi="Times New Roman" w:eastAsia="楷体_GB2312" w:cs="Times New Roman"/>
          <w:b/>
          <w:bCs/>
          <w:sz w:val="32"/>
          <w:szCs w:val="32"/>
          <w:lang w:eastAsia="zh-CN"/>
        </w:rPr>
        <w:t>运用</w:t>
      </w:r>
      <w:r>
        <w:rPr>
          <w:rFonts w:hint="default" w:ascii="Times New Roman" w:hAnsi="Times New Roman" w:eastAsia="楷体_GB2312" w:cs="Times New Roman"/>
          <w:b/>
          <w:bCs/>
          <w:sz w:val="32"/>
          <w:szCs w:val="32"/>
        </w:rPr>
        <w:t>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进一步健全绩效评价结果反馈与整改机制，将绩效评价结果与后续项目支持有机结合，形成良性的项目立项管理机制，切实提高项目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实施质量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。坚持优化决策和管理导向，完善绩效评价方式方法，优化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绩效评价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个性指标，更好地发挥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绩效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评价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指挥棒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作用。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楷体_GB2312" w:cs="Times New Roman"/>
          <w:sz w:val="32"/>
          <w:szCs w:val="32"/>
        </w:rPr>
      </w:pPr>
    </w:p>
    <w:sectPr>
      <w:footerReference r:id="rId3" w:type="default"/>
      <w:pgSz w:w="11906" w:h="16838"/>
      <w:pgMar w:top="1701" w:right="1587" w:bottom="1587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libri Light">
    <w:altName w:val="DejaVu Sans"/>
    <w:panose1 w:val="020F0302020204030204"/>
    <w:charset w:val="00"/>
    <w:family w:val="swiss"/>
    <w:pitch w:val="default"/>
    <w:sig w:usb0="00000000" w:usb1="00000000" w:usb2="00000009" w:usb3="00000000" w:csb0="0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-111125</wp:posOffset>
              </wp:positionV>
              <wp:extent cx="585470" cy="25082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585470" cy="2508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default" w:ascii="Times New Roman" w:hAnsi="Times New Roman" w:cs="Times New Roman" w:eastAsia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false" anchor="t" anchorCtr="false" forceAA="false" upright="false" compatLnSpc="true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8.75pt;height:19.75pt;width:46.1pt;mso-position-horizontal:outside;mso-position-horizontal-relative:margin;z-index:251658240;mso-width-relative:page;mso-height-relative:page;" filled="f" stroked="f" coordsize="21600,21600" o:gfxdata="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FgAAAGRy&#10;cy9QSwECFAAUAAAACACHTuJAGayUPNkAAAAKAQAADwAAAAAAAAABACAAAAA4AAAAZHJzL2Rvd25y&#10;ZXYueG1sUEsBAhQAFAAAAAgAh07iQGQHgyIgAgAAKQQAAA4AAAAAAAAAAQAgAAAAPgEAAGRycy9l&#10;Mm9Eb2MueG1sUEsFBgAAAAAGAAYAWQEAANAFAAAAAA=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4"/>
                      <w:rPr>
                        <w:rFonts w:hint="default" w:ascii="Times New Roman" w:hAnsi="Times New Roman" w:cs="Times New Roman" w:eastAsia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D3DD0B4"/>
    <w:multiLevelType w:val="singleLevel"/>
    <w:tmpl w:val="BD3DD0B4"/>
    <w:lvl w:ilvl="0" w:tentative="0">
      <w:start w:val="2"/>
      <w:numFmt w:val="chineseCounting"/>
      <w:suff w:val="nothing"/>
      <w:lvlText w:val="%1、"/>
      <w:lvlJc w:val="left"/>
      <w:pPr>
        <w:ind w:left="640" w:leftChars="0" w:firstLine="0" w:firstLineChars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ED6089"/>
    <w:rsid w:val="00214F5D"/>
    <w:rsid w:val="00675D0E"/>
    <w:rsid w:val="0FFF2195"/>
    <w:rsid w:val="2BED6089"/>
    <w:rsid w:val="4F7EC345"/>
    <w:rsid w:val="5BFFFF16"/>
    <w:rsid w:val="5D2A58F2"/>
    <w:rsid w:val="6755245A"/>
    <w:rsid w:val="7F6E8F3B"/>
    <w:rsid w:val="7FFFFDD1"/>
    <w:rsid w:val="8FFEAA68"/>
    <w:rsid w:val="CFFF0588"/>
    <w:rsid w:val="E75F5AC7"/>
    <w:rsid w:val="EEFD6668"/>
    <w:rsid w:val="F7772A74"/>
    <w:rsid w:val="FDE27A7E"/>
    <w:rsid w:val="FDFF5C37"/>
    <w:rsid w:val="FFDFF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unhideWhenUsed/>
    <w:qFormat/>
    <w:uiPriority w:val="9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Sinopec</Company>
  <Pages>1</Pages>
  <Words>419</Words>
  <Characters>2389</Characters>
  <Lines>19</Lines>
  <Paragraphs>5</Paragraphs>
  <TotalTime>9</TotalTime>
  <ScaleCrop>false</ScaleCrop>
  <LinksUpToDate>false</LinksUpToDate>
  <CharactersWithSpaces>2803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2021-08-25T08:30:00Z</dcterms:created>
  <dc:creator>bessie</dc:creator>
  <cp:lastModifiedBy>user</cp:lastModifiedBy>
  <cp:lastPrinted>2021-08-25T02:24:00Z</cp:lastPrinted>
  <dcterms:modified xsi:type="dcterms:W3CDTF">2021-08-25T09:19:53Z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C2F6AAC0C92B446FAF47FA48D23F2B78</vt:lpwstr>
  </property>
</Properties>
</file>